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FDD5" w14:textId="77777777" w:rsidR="00E16C56" w:rsidRDefault="00E16C56" w:rsidP="00105132">
      <w:pPr>
        <w:jc w:val="both"/>
      </w:pPr>
    </w:p>
    <w:p w14:paraId="330933C3" w14:textId="77777777" w:rsidR="00BE0AE6" w:rsidRDefault="00BE0AE6" w:rsidP="00105132">
      <w:pPr>
        <w:jc w:val="both"/>
        <w:rPr>
          <w:rFonts w:cstheme="minorHAnsi"/>
          <w:u w:val="single"/>
        </w:rPr>
      </w:pPr>
    </w:p>
    <w:p w14:paraId="5AF6B044" w14:textId="16BC1F96" w:rsidR="000D4B9E" w:rsidRPr="000D4B9E" w:rsidRDefault="000D4B9E" w:rsidP="000D4B9E">
      <w:pPr>
        <w:spacing w:after="120" w:line="288" w:lineRule="atLeast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0D4B9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Assessment of prospective foster parents</w:t>
      </w:r>
      <w:r w:rsidR="0078724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:</w:t>
      </w:r>
    </w:p>
    <w:p w14:paraId="44D4FB5E" w14:textId="77777777" w:rsidR="000D4B9E" w:rsidRPr="000D4B9E" w:rsidRDefault="000D4B9E" w:rsidP="000D4B9E">
      <w:pPr>
        <w:shd w:val="clear" w:color="auto" w:fill="FFFFFF"/>
        <w:spacing w:after="120" w:line="360" w:lineRule="atLeast"/>
        <w:ind w:firstLine="240"/>
        <w:jc w:val="both"/>
        <w:rPr>
          <w:rFonts w:eastAsia="Times New Roman" w:cstheme="minorHAnsi"/>
          <w:sz w:val="24"/>
          <w:szCs w:val="24"/>
          <w:lang w:eastAsia="en-GB"/>
        </w:rPr>
      </w:pPr>
      <w:r w:rsidRPr="000D4B9E">
        <w:rPr>
          <w:rFonts w:eastAsia="Times New Roman" w:cstheme="minorHAnsi"/>
          <w:b/>
          <w:bCs/>
          <w:sz w:val="24"/>
          <w:szCs w:val="24"/>
          <w:lang w:eastAsia="en-GB"/>
        </w:rPr>
        <w:t>26.</w:t>
      </w:r>
      <w:r w:rsidRPr="000D4B9E">
        <w:rPr>
          <w:rFonts w:eastAsia="Times New Roman" w:cstheme="minorHAnsi"/>
          <w:sz w:val="24"/>
          <w:szCs w:val="24"/>
          <w:lang w:eastAsia="en-GB"/>
        </w:rPr>
        <w:t>—(1) The fostering service provider may carry out an assessment of any person who applies to become a foster parent and whom they consider may be suitable to become a foster parent (“X”), and any such assessment must be carried out in accordance with this regulation.</w:t>
      </w:r>
    </w:p>
    <w:p w14:paraId="39BC16BF" w14:textId="77777777" w:rsidR="000D4B9E" w:rsidRPr="000D4B9E" w:rsidRDefault="000D4B9E" w:rsidP="000D4B9E">
      <w:pPr>
        <w:shd w:val="clear" w:color="auto" w:fill="FFFFFF"/>
        <w:spacing w:after="120" w:line="360" w:lineRule="atLeast"/>
        <w:ind w:firstLine="240"/>
        <w:jc w:val="both"/>
        <w:rPr>
          <w:rFonts w:eastAsia="Times New Roman" w:cstheme="minorHAnsi"/>
          <w:sz w:val="24"/>
          <w:szCs w:val="24"/>
          <w:lang w:eastAsia="en-GB"/>
        </w:rPr>
      </w:pPr>
      <w:r w:rsidRPr="000D4B9E">
        <w:rPr>
          <w:rFonts w:eastAsia="Times New Roman" w:cstheme="minorHAnsi"/>
          <w:sz w:val="24"/>
          <w:szCs w:val="24"/>
          <w:lang w:eastAsia="en-GB"/>
        </w:rPr>
        <w:t>(2) The fostering service provider—</w:t>
      </w:r>
    </w:p>
    <w:p w14:paraId="16921B90" w14:textId="77777777" w:rsidR="000D4B9E" w:rsidRPr="000D4B9E" w:rsidRDefault="000D4B9E" w:rsidP="000D4B9E">
      <w:pPr>
        <w:shd w:val="clear" w:color="auto" w:fill="FFFFFF"/>
        <w:spacing w:after="120" w:line="360" w:lineRule="atLeast"/>
        <w:ind w:firstLine="240"/>
        <w:jc w:val="both"/>
        <w:rPr>
          <w:rFonts w:eastAsia="Times New Roman" w:cstheme="minorHAnsi"/>
          <w:sz w:val="24"/>
          <w:szCs w:val="24"/>
          <w:lang w:eastAsia="en-GB"/>
        </w:rPr>
      </w:pPr>
      <w:r w:rsidRPr="000D4B9E">
        <w:rPr>
          <w:rFonts w:eastAsia="Times New Roman" w:cstheme="minorHAnsi"/>
          <w:sz w:val="24"/>
          <w:szCs w:val="24"/>
          <w:lang w:eastAsia="en-GB"/>
        </w:rPr>
        <w:t>(3) Having regard to the information obtained under paragraph (2), the fostering service provider must—</w:t>
      </w:r>
    </w:p>
    <w:p w14:paraId="7E381DE7" w14:textId="7D107B07" w:rsidR="000D4B9E" w:rsidRPr="000D4B9E" w:rsidRDefault="000D4B9E" w:rsidP="000D4B9E">
      <w:pPr>
        <w:shd w:val="clear" w:color="auto" w:fill="FFFFFF"/>
        <w:spacing w:after="120" w:line="360" w:lineRule="atLeast"/>
        <w:rPr>
          <w:rFonts w:eastAsia="Times New Roman" w:cstheme="minorHAnsi"/>
          <w:sz w:val="24"/>
          <w:szCs w:val="24"/>
          <w:lang w:eastAsia="en-GB"/>
        </w:rPr>
      </w:pPr>
      <w:r w:rsidRPr="000D4B9E">
        <w:rPr>
          <w:rFonts w:eastAsia="Times New Roman" w:cstheme="minorHAnsi"/>
          <w:sz w:val="24"/>
          <w:szCs w:val="24"/>
          <w:lang w:eastAsia="en-GB"/>
        </w:rPr>
        <w:t>(a)consider whether X is suitable to be a foster parent and whether X’s household is suitable for any child. (FSR, 2011)</w:t>
      </w:r>
    </w:p>
    <w:p w14:paraId="343430B8" w14:textId="4A1473E4" w:rsidR="009F1E96" w:rsidRPr="00787249" w:rsidRDefault="009F1E96" w:rsidP="000D4B9E">
      <w:pPr>
        <w:jc w:val="both"/>
        <w:rPr>
          <w:rFonts w:cstheme="minorHAnsi"/>
          <w:b/>
          <w:bCs/>
          <w:sz w:val="24"/>
          <w:szCs w:val="24"/>
        </w:rPr>
      </w:pPr>
      <w:r w:rsidRPr="00787249">
        <w:rPr>
          <w:rFonts w:cstheme="minorHAnsi"/>
          <w:b/>
          <w:bCs/>
          <w:sz w:val="24"/>
          <w:szCs w:val="24"/>
        </w:rPr>
        <w:t>STANDARD 10 - Providing a suitable physical environment for the foster child</w:t>
      </w:r>
      <w:r w:rsidR="00787249">
        <w:rPr>
          <w:rFonts w:cstheme="minorHAnsi"/>
          <w:b/>
          <w:bCs/>
          <w:sz w:val="24"/>
          <w:szCs w:val="24"/>
        </w:rPr>
        <w:t>:</w:t>
      </w:r>
      <w:r w:rsidRPr="00787249">
        <w:rPr>
          <w:rFonts w:cstheme="minorHAnsi"/>
          <w:b/>
          <w:bCs/>
          <w:sz w:val="24"/>
          <w:szCs w:val="24"/>
        </w:rPr>
        <w:t xml:space="preserve"> </w:t>
      </w:r>
    </w:p>
    <w:p w14:paraId="28943D1C" w14:textId="129D362E" w:rsidR="009F1E96" w:rsidRPr="000D4B9E" w:rsidRDefault="009F1E96" w:rsidP="000D4B9E">
      <w:pPr>
        <w:jc w:val="both"/>
        <w:rPr>
          <w:rFonts w:cstheme="minorHAnsi"/>
          <w:sz w:val="24"/>
          <w:szCs w:val="24"/>
        </w:rPr>
      </w:pPr>
      <w:r w:rsidRPr="000D4B9E">
        <w:rPr>
          <w:rFonts w:cstheme="minorHAnsi"/>
          <w:sz w:val="24"/>
          <w:szCs w:val="24"/>
        </w:rPr>
        <w:t xml:space="preserve">Underpinning Legislation: 26 – Assessment of prospective foster parents Schedule 3 – Information as to prospective foster parent and other members of their household and family </w:t>
      </w:r>
    </w:p>
    <w:p w14:paraId="437FDECB" w14:textId="77777777" w:rsidR="009F1E96" w:rsidRPr="000D4B9E" w:rsidRDefault="009F1E96" w:rsidP="000D4B9E">
      <w:pPr>
        <w:jc w:val="both"/>
        <w:rPr>
          <w:rFonts w:cstheme="minorHAnsi"/>
          <w:sz w:val="24"/>
          <w:szCs w:val="24"/>
        </w:rPr>
      </w:pPr>
      <w:r w:rsidRPr="000D4B9E">
        <w:rPr>
          <w:rFonts w:cstheme="minorHAnsi"/>
          <w:sz w:val="24"/>
          <w:szCs w:val="24"/>
        </w:rPr>
        <w:t xml:space="preserve">Outcome: </w:t>
      </w:r>
    </w:p>
    <w:p w14:paraId="7078733C" w14:textId="77777777" w:rsidR="009F1E96" w:rsidRPr="000D4B9E" w:rsidRDefault="009F1E96" w:rsidP="000D4B9E">
      <w:pPr>
        <w:jc w:val="both"/>
        <w:rPr>
          <w:sz w:val="24"/>
          <w:szCs w:val="24"/>
        </w:rPr>
      </w:pPr>
      <w:r w:rsidRPr="000D4B9E">
        <w:rPr>
          <w:sz w:val="24"/>
          <w:szCs w:val="24"/>
        </w:rPr>
        <w:sym w:font="Symbol" w:char="F0B7"/>
      </w:r>
      <w:r w:rsidRPr="000D4B9E">
        <w:rPr>
          <w:sz w:val="24"/>
          <w:szCs w:val="24"/>
        </w:rPr>
        <w:t xml:space="preserve"> Children live in foster homes which provide adequate space, to a suitable standard. The child enjoys access to a range of activities which promote his or her development. </w:t>
      </w:r>
    </w:p>
    <w:p w14:paraId="3EE0FB31" w14:textId="77777777" w:rsidR="009F1E96" w:rsidRPr="000D4B9E" w:rsidRDefault="009F1E96" w:rsidP="000D4B9E">
      <w:pPr>
        <w:jc w:val="both"/>
        <w:rPr>
          <w:sz w:val="24"/>
          <w:szCs w:val="24"/>
        </w:rPr>
      </w:pPr>
      <w:r w:rsidRPr="000D4B9E">
        <w:rPr>
          <w:sz w:val="24"/>
          <w:szCs w:val="24"/>
        </w:rPr>
        <w:t xml:space="preserve">10.1) The foster home can comfortably accommodate all who live there including where appropriate any suitable aids and adaptations provided and fitted by suitably trained staff when caring for a disabled child. </w:t>
      </w:r>
    </w:p>
    <w:p w14:paraId="794C142B" w14:textId="13A05145" w:rsidR="009F1E96" w:rsidRPr="000D4B9E" w:rsidRDefault="009F1E96" w:rsidP="000D4B9E">
      <w:pPr>
        <w:jc w:val="both"/>
        <w:rPr>
          <w:sz w:val="24"/>
          <w:szCs w:val="24"/>
        </w:rPr>
      </w:pPr>
      <w:r w:rsidRPr="000D4B9E">
        <w:rPr>
          <w:sz w:val="24"/>
          <w:szCs w:val="24"/>
        </w:rPr>
        <w:t xml:space="preserve">10.2) The foster home is warm, adequately furnished and decorated, is maintained to a good standard of cleanliness and hygiene and is in good order throughout. Outdoor spaces which are part of the premises are safe, secure and well maintained. </w:t>
      </w:r>
    </w:p>
    <w:p w14:paraId="615C2B51" w14:textId="63F6F9BD" w:rsidR="00A11DDD" w:rsidRDefault="009F1E96" w:rsidP="000D4B9E">
      <w:pPr>
        <w:jc w:val="both"/>
        <w:rPr>
          <w:sz w:val="24"/>
          <w:szCs w:val="24"/>
        </w:rPr>
      </w:pPr>
      <w:r w:rsidRPr="000D4B9E">
        <w:rPr>
          <w:sz w:val="24"/>
          <w:szCs w:val="24"/>
        </w:rPr>
        <w:t xml:space="preserve">10.5) The foster home is inspected annually, without appointment, by the fostering service to make sure that it continues to meet the needs of foster children. </w:t>
      </w:r>
      <w:r w:rsidR="000D4B9E" w:rsidRPr="000D4B9E">
        <w:rPr>
          <w:sz w:val="24"/>
          <w:szCs w:val="24"/>
        </w:rPr>
        <w:t>(NMS, 2011)</w:t>
      </w:r>
    </w:p>
    <w:p w14:paraId="3C6A2588" w14:textId="77777777" w:rsidR="00787249" w:rsidRDefault="000320A7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foster carers approved with NCT’s Fostering Service must have a minimum of one </w:t>
      </w:r>
      <w:r w:rsidR="009B5D42">
        <w:rPr>
          <w:sz w:val="24"/>
          <w:szCs w:val="24"/>
        </w:rPr>
        <w:t>u</w:t>
      </w:r>
      <w:r>
        <w:rPr>
          <w:sz w:val="24"/>
          <w:szCs w:val="24"/>
        </w:rPr>
        <w:t>nannounced home visit</w:t>
      </w:r>
      <w:r w:rsidR="009B5D42">
        <w:rPr>
          <w:sz w:val="24"/>
          <w:szCs w:val="24"/>
        </w:rPr>
        <w:t xml:space="preserve"> (UAHV)</w:t>
      </w:r>
      <w:r>
        <w:rPr>
          <w:sz w:val="24"/>
          <w:szCs w:val="24"/>
        </w:rPr>
        <w:t xml:space="preserve"> undertaken within each </w:t>
      </w:r>
      <w:r w:rsidR="00787249">
        <w:rPr>
          <w:sz w:val="24"/>
          <w:szCs w:val="24"/>
        </w:rPr>
        <w:t>twelve-month</w:t>
      </w:r>
      <w:r>
        <w:rPr>
          <w:sz w:val="24"/>
          <w:szCs w:val="24"/>
        </w:rPr>
        <w:t xml:space="preserve"> review period, with</w:t>
      </w:r>
      <w:r w:rsidR="009B5D42">
        <w:rPr>
          <w:sz w:val="24"/>
          <w:szCs w:val="24"/>
        </w:rPr>
        <w:t xml:space="preserve"> the best practice expectation being that two UAHVs are undertaken within each twelve-month review period. Within one of the two UAHVs to be undertaken within each twelve-</w:t>
      </w:r>
    </w:p>
    <w:p w14:paraId="4D92930C" w14:textId="77777777" w:rsidR="00787249" w:rsidRDefault="00787249" w:rsidP="000D4B9E">
      <w:pPr>
        <w:jc w:val="both"/>
        <w:rPr>
          <w:sz w:val="24"/>
          <w:szCs w:val="24"/>
        </w:rPr>
      </w:pPr>
    </w:p>
    <w:p w14:paraId="6A1CB2E0" w14:textId="77777777" w:rsidR="00787249" w:rsidRDefault="00787249" w:rsidP="000D4B9E">
      <w:pPr>
        <w:jc w:val="both"/>
        <w:rPr>
          <w:sz w:val="24"/>
          <w:szCs w:val="24"/>
        </w:rPr>
      </w:pPr>
    </w:p>
    <w:p w14:paraId="14D7BAAE" w14:textId="45FA895D" w:rsidR="000320A7" w:rsidRDefault="009B5D42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>month review period, any child or children living within the fostering household are expected to be seen.</w:t>
      </w:r>
      <w:r w:rsidR="00787249">
        <w:rPr>
          <w:sz w:val="24"/>
          <w:szCs w:val="24"/>
        </w:rPr>
        <w:t xml:space="preserve"> Therefore, if only one UAHV is undertaken in a twelve month period, any child or children living in the household must be seen as part of that UAHV.</w:t>
      </w:r>
    </w:p>
    <w:p w14:paraId="4FE4F208" w14:textId="46DF99DA" w:rsidR="009B5D42" w:rsidRDefault="009B5D42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>Within any UAHV</w:t>
      </w:r>
      <w:r w:rsidR="00787249">
        <w:rPr>
          <w:sz w:val="24"/>
          <w:szCs w:val="24"/>
        </w:rPr>
        <w:t xml:space="preserve"> undertaken</w:t>
      </w:r>
      <w:r>
        <w:rPr>
          <w:sz w:val="24"/>
          <w:szCs w:val="24"/>
        </w:rPr>
        <w:t>, the following expectations should be considered:</w:t>
      </w:r>
    </w:p>
    <w:p w14:paraId="0A35D8ED" w14:textId="6BD6BA21" w:rsidR="009B5D42" w:rsidRDefault="009B5D42" w:rsidP="009B5D4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child’s bedroom must be viewed.</w:t>
      </w:r>
    </w:p>
    <w:p w14:paraId="27AF6B2B" w14:textId="5CED5E48" w:rsidR="009B5D42" w:rsidRDefault="009B5D42" w:rsidP="009B5D4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bathroom used by a child or children placed within the fostering household</w:t>
      </w:r>
      <w:r w:rsidR="005B310B">
        <w:rPr>
          <w:sz w:val="24"/>
          <w:szCs w:val="24"/>
        </w:rPr>
        <w:t xml:space="preserve"> must be viewed</w:t>
      </w:r>
      <w:r>
        <w:rPr>
          <w:sz w:val="24"/>
          <w:szCs w:val="24"/>
        </w:rPr>
        <w:t>.</w:t>
      </w:r>
    </w:p>
    <w:p w14:paraId="74F82740" w14:textId="4AC1A7AA" w:rsidR="009B5D42" w:rsidRDefault="009B5D42" w:rsidP="009B5D4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garden or any outdoor space that is available to the child or children within the fostering household </w:t>
      </w:r>
      <w:r w:rsidR="005B310B">
        <w:rPr>
          <w:sz w:val="24"/>
          <w:szCs w:val="24"/>
        </w:rPr>
        <w:t xml:space="preserve">must be viewed, </w:t>
      </w:r>
      <w:r>
        <w:rPr>
          <w:sz w:val="24"/>
          <w:szCs w:val="24"/>
        </w:rPr>
        <w:t>to include</w:t>
      </w:r>
      <w:r w:rsidR="005B310B">
        <w:rPr>
          <w:sz w:val="24"/>
          <w:szCs w:val="24"/>
        </w:rPr>
        <w:t xml:space="preserve"> consideration of this</w:t>
      </w:r>
      <w:r>
        <w:rPr>
          <w:sz w:val="24"/>
          <w:szCs w:val="24"/>
        </w:rPr>
        <w:t xml:space="preserve"> being a safe space to play and the cleanliness </w:t>
      </w:r>
      <w:r w:rsidR="00787249">
        <w:rPr>
          <w:sz w:val="24"/>
          <w:szCs w:val="24"/>
        </w:rPr>
        <w:t>in regard to</w:t>
      </w:r>
      <w:r>
        <w:rPr>
          <w:sz w:val="24"/>
          <w:szCs w:val="24"/>
        </w:rPr>
        <w:t xml:space="preserve"> </w:t>
      </w:r>
      <w:r w:rsidR="00787249">
        <w:rPr>
          <w:sz w:val="24"/>
          <w:szCs w:val="24"/>
        </w:rPr>
        <w:t xml:space="preserve">the areas used by </w:t>
      </w:r>
      <w:r>
        <w:rPr>
          <w:sz w:val="24"/>
          <w:szCs w:val="24"/>
        </w:rPr>
        <w:t>any pets of the fostering household</w:t>
      </w:r>
      <w:r w:rsidR="005B310B">
        <w:rPr>
          <w:sz w:val="24"/>
          <w:szCs w:val="24"/>
        </w:rPr>
        <w:t>.</w:t>
      </w:r>
    </w:p>
    <w:p w14:paraId="408F6A3F" w14:textId="4A0C69EE" w:rsidR="005B310B" w:rsidRPr="009B5D42" w:rsidRDefault="005B310B" w:rsidP="009B5D4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kitchen and dining area of the fostering household must be viewed.</w:t>
      </w:r>
    </w:p>
    <w:p w14:paraId="3A45513B" w14:textId="5948B7FC" w:rsidR="00787249" w:rsidRDefault="00787249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>UAHV</w:t>
      </w:r>
      <w:r w:rsidR="008C74FC">
        <w:rPr>
          <w:sz w:val="24"/>
          <w:szCs w:val="24"/>
        </w:rPr>
        <w:t>s</w:t>
      </w:r>
      <w:r>
        <w:rPr>
          <w:sz w:val="24"/>
          <w:szCs w:val="24"/>
        </w:rPr>
        <w:t xml:space="preserve"> are not to be attempted immediately prior to a planned visit to be undertaken </w:t>
      </w:r>
      <w:r w:rsidR="005B310B">
        <w:rPr>
          <w:sz w:val="24"/>
          <w:szCs w:val="24"/>
        </w:rPr>
        <w:t xml:space="preserve">to the fostering household </w:t>
      </w:r>
      <w:r>
        <w:rPr>
          <w:sz w:val="24"/>
          <w:szCs w:val="24"/>
        </w:rPr>
        <w:t>by the SSW.</w:t>
      </w:r>
    </w:p>
    <w:p w14:paraId="0F877FA2" w14:textId="1D5DB07D" w:rsidR="005B310B" w:rsidRDefault="005B310B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SSW must not enter the fostering household </w:t>
      </w:r>
      <w:r w:rsidR="00D429C8">
        <w:rPr>
          <w:sz w:val="24"/>
          <w:szCs w:val="24"/>
        </w:rPr>
        <w:t xml:space="preserve">to undertake an UAHV </w:t>
      </w:r>
      <w:r>
        <w:rPr>
          <w:sz w:val="24"/>
          <w:szCs w:val="24"/>
        </w:rPr>
        <w:t>if children are present without the foster carer being at home as may be the case by agreement for older looked after children or the foster carer’s own children.</w:t>
      </w:r>
    </w:p>
    <w:p w14:paraId="3CE9A132" w14:textId="6662A995" w:rsidR="00901A86" w:rsidRDefault="00901A86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>Where children are seen as part of an UAHV, this must be recorded to both the foster carer’s Carefirst record and the child’s ‘running record’ within TEAMS.</w:t>
      </w:r>
    </w:p>
    <w:p w14:paraId="3E53BAFD" w14:textId="0586305C" w:rsidR="008C74FC" w:rsidRPr="000D4B9E" w:rsidRDefault="008C74FC" w:rsidP="000D4B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an UAHV is attempted but is not successful due to the foster carers not being at home, then this must still be recorded to the carer’s </w:t>
      </w:r>
      <w:r w:rsidR="00901A86">
        <w:rPr>
          <w:sz w:val="24"/>
          <w:szCs w:val="24"/>
        </w:rPr>
        <w:t>Carefirst</w:t>
      </w:r>
      <w:r>
        <w:rPr>
          <w:sz w:val="24"/>
          <w:szCs w:val="24"/>
        </w:rPr>
        <w:t xml:space="preserve"> record as an ‘Attempted, unsuccessful UAHV’.</w:t>
      </w:r>
    </w:p>
    <w:p w14:paraId="791C8B80" w14:textId="3599E642" w:rsidR="009F1E96" w:rsidRPr="000320A7" w:rsidRDefault="009F1E96" w:rsidP="000D4B9E">
      <w:pPr>
        <w:jc w:val="both"/>
        <w:rPr>
          <w:sz w:val="24"/>
          <w:szCs w:val="24"/>
          <w:u w:val="single"/>
        </w:rPr>
      </w:pPr>
      <w:r w:rsidRPr="000320A7">
        <w:rPr>
          <w:sz w:val="24"/>
          <w:szCs w:val="24"/>
          <w:u w:val="single"/>
        </w:rPr>
        <w:t>References:</w:t>
      </w:r>
    </w:p>
    <w:p w14:paraId="00DC9EE2" w14:textId="0815857B" w:rsidR="000D4B9E" w:rsidRPr="000320A7" w:rsidRDefault="00000000" w:rsidP="000D4B9E">
      <w:pPr>
        <w:jc w:val="both"/>
        <w:rPr>
          <w:sz w:val="24"/>
          <w:szCs w:val="24"/>
        </w:rPr>
      </w:pPr>
      <w:hyperlink r:id="rId7" w:history="1">
        <w:r w:rsidR="000D4B9E" w:rsidRPr="000320A7">
          <w:rPr>
            <w:rStyle w:val="Hyperlink"/>
            <w:sz w:val="24"/>
            <w:szCs w:val="24"/>
          </w:rPr>
          <w:t>The Fostering Services (England) Regulations 2011 (legislation.gov.uk)</w:t>
        </w:r>
      </w:hyperlink>
    </w:p>
    <w:p w14:paraId="6C2331BD" w14:textId="2565EBB9" w:rsidR="009F1E96" w:rsidRPr="000D4B9E" w:rsidRDefault="00000000" w:rsidP="000D4B9E">
      <w:pPr>
        <w:jc w:val="both"/>
        <w:rPr>
          <w:sz w:val="24"/>
          <w:szCs w:val="24"/>
        </w:rPr>
      </w:pPr>
      <w:hyperlink r:id="rId8" w:history="1">
        <w:r w:rsidR="000D4B9E" w:rsidRPr="000320A7">
          <w:rPr>
            <w:rStyle w:val="Hyperlink"/>
            <w:sz w:val="24"/>
            <w:szCs w:val="24"/>
          </w:rPr>
          <w:t>Fostering Guidance - MASTER (publishing.service.gov.uk)</w:t>
        </w:r>
      </w:hyperlink>
    </w:p>
    <w:sectPr w:rsidR="009F1E96" w:rsidRPr="000D4B9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A92D" w14:textId="77777777" w:rsidR="004200EB" w:rsidRDefault="004200EB" w:rsidP="00E16C56">
      <w:pPr>
        <w:spacing w:after="0" w:line="240" w:lineRule="auto"/>
      </w:pPr>
      <w:r>
        <w:separator/>
      </w:r>
    </w:p>
  </w:endnote>
  <w:endnote w:type="continuationSeparator" w:id="0">
    <w:p w14:paraId="79F6FAA6" w14:textId="77777777" w:rsidR="004200EB" w:rsidRDefault="004200EB" w:rsidP="00E1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747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4C2EC" w14:textId="77777777" w:rsidR="00AE4AE2" w:rsidRDefault="00AE4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3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69FAB" w14:textId="43DC5072" w:rsidR="00E16C56" w:rsidRDefault="00AE4AE2">
    <w:pPr>
      <w:pStyle w:val="Footer"/>
    </w:pPr>
    <w:r>
      <w:t xml:space="preserve">Version </w:t>
    </w:r>
    <w:r w:rsidR="00BA1160">
      <w:t>1</w:t>
    </w:r>
    <w:r w:rsidR="00775850">
      <w:t xml:space="preserve"> </w:t>
    </w:r>
    <w:r>
      <w:t>HD</w:t>
    </w:r>
    <w:r w:rsidR="00BA1160">
      <w:t xml:space="preserve"> 06/04/23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06CD" w14:textId="77777777" w:rsidR="004200EB" w:rsidRDefault="004200EB" w:rsidP="00E16C56">
      <w:pPr>
        <w:spacing w:after="0" w:line="240" w:lineRule="auto"/>
      </w:pPr>
      <w:r>
        <w:separator/>
      </w:r>
    </w:p>
  </w:footnote>
  <w:footnote w:type="continuationSeparator" w:id="0">
    <w:p w14:paraId="093F9C56" w14:textId="77777777" w:rsidR="004200EB" w:rsidRDefault="004200EB" w:rsidP="00E1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A4F8" w14:textId="084FCA77" w:rsidR="006753DA" w:rsidRPr="006753DA" w:rsidRDefault="00775850" w:rsidP="00105132">
    <w:pPr>
      <w:pStyle w:val="Header"/>
      <w:jc w:val="center"/>
      <w:rPr>
        <w:u w:val="single"/>
      </w:rPr>
    </w:pPr>
    <w:r>
      <w:rPr>
        <w:noProof/>
      </w:rPr>
      <w:drawing>
        <wp:inline distT="0" distB="0" distL="0" distR="0" wp14:anchorId="7816EA41" wp14:editId="2225B434">
          <wp:extent cx="3371850" cy="1095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7FF73" w14:textId="74172D8F" w:rsidR="006753DA" w:rsidRDefault="006753DA">
    <w:pPr>
      <w:pStyle w:val="Header"/>
    </w:pPr>
  </w:p>
  <w:p w14:paraId="383BBE16" w14:textId="2B3FA0A2" w:rsidR="006753DA" w:rsidRPr="006753DA" w:rsidRDefault="00BA1160" w:rsidP="00F06556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Unannounced home visits to foster carers (UAHVs)</w:t>
    </w:r>
    <w:r w:rsidR="006753DA" w:rsidRPr="006753DA">
      <w:rPr>
        <w:b/>
        <w:bCs/>
        <w:sz w:val="24"/>
        <w:szCs w:val="24"/>
      </w:rPr>
      <w:t xml:space="preserve"> – </w:t>
    </w:r>
    <w:r>
      <w:rPr>
        <w:b/>
        <w:bCs/>
        <w:sz w:val="24"/>
        <w:szCs w:val="24"/>
      </w:rPr>
      <w:t xml:space="preserve">Policy and </w:t>
    </w:r>
    <w:r w:rsidR="006753DA" w:rsidRPr="006753DA">
      <w:rPr>
        <w:b/>
        <w:bCs/>
        <w:sz w:val="24"/>
        <w:szCs w:val="24"/>
      </w:rPr>
      <w:t>Practice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1AAB"/>
    <w:multiLevelType w:val="hybridMultilevel"/>
    <w:tmpl w:val="B2C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136B1"/>
    <w:multiLevelType w:val="hybridMultilevel"/>
    <w:tmpl w:val="A026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76258">
    <w:abstractNumId w:val="1"/>
  </w:num>
  <w:num w:numId="2" w16cid:durableId="137318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56"/>
    <w:rsid w:val="000127F4"/>
    <w:rsid w:val="00024D05"/>
    <w:rsid w:val="000320A7"/>
    <w:rsid w:val="00055BB4"/>
    <w:rsid w:val="000D4B9E"/>
    <w:rsid w:val="00105132"/>
    <w:rsid w:val="004200EB"/>
    <w:rsid w:val="00543DEC"/>
    <w:rsid w:val="005B310B"/>
    <w:rsid w:val="006753DA"/>
    <w:rsid w:val="00686612"/>
    <w:rsid w:val="00726371"/>
    <w:rsid w:val="00775850"/>
    <w:rsid w:val="00787249"/>
    <w:rsid w:val="007A6428"/>
    <w:rsid w:val="0083601B"/>
    <w:rsid w:val="008C74FC"/>
    <w:rsid w:val="00901A86"/>
    <w:rsid w:val="009B5D42"/>
    <w:rsid w:val="009F1E96"/>
    <w:rsid w:val="00A11DDD"/>
    <w:rsid w:val="00A40ACD"/>
    <w:rsid w:val="00AE4AE2"/>
    <w:rsid w:val="00BA1160"/>
    <w:rsid w:val="00BE0AE6"/>
    <w:rsid w:val="00C563E0"/>
    <w:rsid w:val="00D429C8"/>
    <w:rsid w:val="00E16C56"/>
    <w:rsid w:val="00F06556"/>
    <w:rsid w:val="00F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45B86"/>
  <w15:chartTrackingRefBased/>
  <w15:docId w15:val="{32816B2E-464D-47C9-A159-770904F5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56"/>
  </w:style>
  <w:style w:type="paragraph" w:styleId="Footer">
    <w:name w:val="footer"/>
    <w:basedOn w:val="Normal"/>
    <w:link w:val="FooterChar"/>
    <w:uiPriority w:val="99"/>
    <w:unhideWhenUsed/>
    <w:rsid w:val="00E16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56"/>
  </w:style>
  <w:style w:type="paragraph" w:styleId="ListParagraph">
    <w:name w:val="List Paragraph"/>
    <w:basedOn w:val="Normal"/>
    <w:uiPriority w:val="34"/>
    <w:qFormat/>
    <w:rsid w:val="00A11D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1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92705/NMS_Fostering_Servic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1/581/regulation/26/m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Dickens</dc:creator>
  <cp:keywords/>
  <dc:description/>
  <cp:lastModifiedBy>Claire Bagley</cp:lastModifiedBy>
  <cp:revision>2</cp:revision>
  <dcterms:created xsi:type="dcterms:W3CDTF">2023-04-11T12:12:00Z</dcterms:created>
  <dcterms:modified xsi:type="dcterms:W3CDTF">2023-04-11T12:12:00Z</dcterms:modified>
</cp:coreProperties>
</file>